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84" w:rsidRDefault="00580084" w:rsidP="00580084">
      <w:pPr>
        <w:pBdr>
          <w:top w:val="single" w:sz="4" w:space="1" w:color="auto"/>
          <w:left w:val="single" w:sz="4" w:space="4" w:color="auto"/>
          <w:bottom w:val="single" w:sz="4" w:space="1" w:color="auto"/>
          <w:right w:val="single" w:sz="4" w:space="4" w:color="auto"/>
        </w:pBdr>
        <w:rPr>
          <w:b/>
          <w:sz w:val="22"/>
        </w:rPr>
      </w:pPr>
      <w:bookmarkStart w:id="0" w:name="_GoBack"/>
      <w:bookmarkEnd w:id="0"/>
    </w:p>
    <w:p w:rsidR="00662B05" w:rsidRDefault="00662B05" w:rsidP="00580084">
      <w:pPr>
        <w:pBdr>
          <w:top w:val="single" w:sz="4" w:space="1" w:color="auto"/>
          <w:left w:val="single" w:sz="4" w:space="4" w:color="auto"/>
          <w:bottom w:val="single" w:sz="4" w:space="1" w:color="auto"/>
          <w:right w:val="single" w:sz="4" w:space="4" w:color="auto"/>
        </w:pBdr>
        <w:rPr>
          <w:b/>
          <w:sz w:val="22"/>
        </w:rPr>
      </w:pPr>
      <w:r w:rsidRPr="00580084">
        <w:rPr>
          <w:b/>
          <w:sz w:val="22"/>
        </w:rPr>
        <w:t>Pascal Schumacher, Francesco Tristano und Bachar Khalifé im Wiener Konzerthaus</w:t>
      </w:r>
    </w:p>
    <w:p w:rsidR="00580084" w:rsidRDefault="00580084" w:rsidP="00580084">
      <w:pPr>
        <w:pBdr>
          <w:top w:val="single" w:sz="4" w:space="1" w:color="auto"/>
          <w:left w:val="single" w:sz="4" w:space="4" w:color="auto"/>
          <w:bottom w:val="single" w:sz="4" w:space="1" w:color="auto"/>
          <w:right w:val="single" w:sz="4" w:space="4" w:color="auto"/>
        </w:pBdr>
        <w:rPr>
          <w:b/>
          <w:sz w:val="22"/>
        </w:rPr>
      </w:pPr>
    </w:p>
    <w:p w:rsidR="00580084" w:rsidRDefault="00580084" w:rsidP="00580084">
      <w:pPr>
        <w:pBdr>
          <w:top w:val="single" w:sz="4" w:space="1" w:color="auto"/>
          <w:left w:val="single" w:sz="4" w:space="4" w:color="auto"/>
          <w:bottom w:val="single" w:sz="4" w:space="1" w:color="auto"/>
          <w:right w:val="single" w:sz="4" w:space="4" w:color="auto"/>
        </w:pBdr>
        <w:jc w:val="center"/>
        <w:rPr>
          <w:b/>
          <w:sz w:val="22"/>
        </w:rPr>
      </w:pPr>
      <w:r>
        <w:rPr>
          <w:b/>
          <w:sz w:val="22"/>
        </w:rPr>
        <w:t>Mittwoch, 11</w:t>
      </w:r>
      <w:r w:rsidR="00FB3203">
        <w:rPr>
          <w:b/>
          <w:sz w:val="22"/>
        </w:rPr>
        <w:t xml:space="preserve">. Februar 2015, 21 Uhr, Mozart </w:t>
      </w:r>
      <w:r>
        <w:rPr>
          <w:b/>
          <w:sz w:val="22"/>
        </w:rPr>
        <w:t>Saal</w:t>
      </w:r>
    </w:p>
    <w:p w:rsidR="00580084" w:rsidRPr="00580084" w:rsidRDefault="00580084" w:rsidP="00580084">
      <w:pPr>
        <w:pBdr>
          <w:top w:val="single" w:sz="4" w:space="1" w:color="auto"/>
          <w:left w:val="single" w:sz="4" w:space="4" w:color="auto"/>
          <w:bottom w:val="single" w:sz="4" w:space="1" w:color="auto"/>
          <w:right w:val="single" w:sz="4" w:space="4" w:color="auto"/>
        </w:pBdr>
        <w:rPr>
          <w:b/>
          <w:sz w:val="22"/>
        </w:rPr>
      </w:pPr>
    </w:p>
    <w:p w:rsidR="00662B05" w:rsidRDefault="00662B05" w:rsidP="00662B05">
      <w:pPr>
        <w:ind w:left="-284"/>
        <w:rPr>
          <w:szCs w:val="20"/>
        </w:rPr>
      </w:pPr>
    </w:p>
    <w:p w:rsidR="00662B05" w:rsidRDefault="00662B05" w:rsidP="00662B05">
      <w:pPr>
        <w:ind w:left="-284"/>
        <w:rPr>
          <w:szCs w:val="20"/>
        </w:rPr>
      </w:pPr>
    </w:p>
    <w:p w:rsidR="00662B05" w:rsidRDefault="00662B05" w:rsidP="00662B05">
      <w:pPr>
        <w:ind w:left="-284"/>
        <w:jc w:val="center"/>
        <w:rPr>
          <w:szCs w:val="20"/>
        </w:rPr>
      </w:pPr>
      <w:r>
        <w:rPr>
          <w:noProof/>
          <w:szCs w:val="20"/>
          <w:lang w:val="en-US" w:eastAsia="en-US"/>
        </w:rPr>
        <w:drawing>
          <wp:inline distT="0" distB="0" distL="0" distR="0">
            <wp:extent cx="4753992" cy="32385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life_Schumacher_Tristano_01_Jun14.jpg"/>
                    <pic:cNvPicPr/>
                  </pic:nvPicPr>
                  <pic:blipFill>
                    <a:blip r:embed="rId5">
                      <a:extLst>
                        <a:ext uri="{28A0092B-C50C-407E-A947-70E740481C1C}">
                          <a14:useLocalDpi xmlns:a14="http://schemas.microsoft.com/office/drawing/2010/main" val="0"/>
                        </a:ext>
                      </a:extLst>
                    </a:blip>
                    <a:stretch>
                      <a:fillRect/>
                    </a:stretch>
                  </pic:blipFill>
                  <pic:spPr>
                    <a:xfrm>
                      <a:off x="0" y="0"/>
                      <a:ext cx="4753992" cy="3238500"/>
                    </a:xfrm>
                    <a:prstGeom prst="rect">
                      <a:avLst/>
                    </a:prstGeom>
                  </pic:spPr>
                </pic:pic>
              </a:graphicData>
            </a:graphic>
          </wp:inline>
        </w:drawing>
      </w:r>
    </w:p>
    <w:p w:rsidR="00662B05" w:rsidRDefault="00662B05" w:rsidP="00662B05">
      <w:pPr>
        <w:ind w:left="-284"/>
        <w:rPr>
          <w:szCs w:val="20"/>
        </w:rPr>
      </w:pPr>
    </w:p>
    <w:p w:rsidR="00662B05" w:rsidRPr="000F0138" w:rsidRDefault="00662B05" w:rsidP="000F0138">
      <w:pPr>
        <w:ind w:left="-284"/>
        <w:rPr>
          <w:rFonts w:cs="Arial"/>
          <w:szCs w:val="20"/>
        </w:rPr>
      </w:pPr>
      <w:r>
        <w:rPr>
          <w:szCs w:val="20"/>
        </w:rPr>
        <w:br/>
      </w:r>
    </w:p>
    <w:tbl>
      <w:tblPr>
        <w:tblpPr w:leftFromText="141" w:rightFromText="141" w:vertAnchor="text" w:horzAnchor="margin" w:tblpXSpec="center" w:tblpY="-134"/>
        <w:tblOverlap w:val="never"/>
        <w:tblW w:w="5305" w:type="pct"/>
        <w:tblCellSpacing w:w="0" w:type="dxa"/>
        <w:tblCellMar>
          <w:left w:w="0" w:type="dxa"/>
          <w:right w:w="0" w:type="dxa"/>
        </w:tblCellMar>
        <w:tblLook w:val="04A0" w:firstRow="1" w:lastRow="0" w:firstColumn="1" w:lastColumn="0" w:noHBand="0" w:noVBand="1"/>
      </w:tblPr>
      <w:tblGrid>
        <w:gridCol w:w="9623"/>
      </w:tblGrid>
      <w:tr w:rsidR="00662B05" w:rsidRPr="000F0138" w:rsidTr="00662B05">
        <w:trPr>
          <w:trHeight w:val="289"/>
          <w:tblCellSpacing w:w="0" w:type="dxa"/>
        </w:trPr>
        <w:tc>
          <w:tcPr>
            <w:tcW w:w="0" w:type="auto"/>
            <w:hideMark/>
          </w:tcPr>
          <w:p w:rsidR="00662B05" w:rsidRPr="000F0138" w:rsidRDefault="00662B05" w:rsidP="000F0138">
            <w:pPr>
              <w:spacing w:line="300" w:lineRule="exact"/>
              <w:jc w:val="both"/>
              <w:rPr>
                <w:rFonts w:eastAsia="Times New Roman" w:cs="Arial"/>
                <w:b/>
                <w:bCs/>
                <w:color w:val="000000"/>
                <w:szCs w:val="20"/>
              </w:rPr>
            </w:pPr>
          </w:p>
          <w:p w:rsidR="00662B05" w:rsidRPr="000F0138" w:rsidRDefault="00662B05" w:rsidP="000F0138">
            <w:pPr>
              <w:spacing w:line="300" w:lineRule="exact"/>
              <w:jc w:val="both"/>
              <w:rPr>
                <w:rFonts w:eastAsia="Times New Roman" w:cs="Arial"/>
                <w:b/>
                <w:bCs/>
                <w:color w:val="000000"/>
                <w:szCs w:val="20"/>
              </w:rPr>
            </w:pPr>
            <w:r w:rsidRPr="000F0138">
              <w:rPr>
                <w:rFonts w:eastAsia="Times New Roman" w:cs="Arial"/>
                <w:b/>
                <w:bCs/>
                <w:color w:val="000000"/>
                <w:szCs w:val="20"/>
              </w:rPr>
              <w:t>Schumacher / Tristano / Khalifé</w:t>
            </w:r>
          </w:p>
        </w:tc>
      </w:tr>
      <w:tr w:rsidR="00662B05" w:rsidRPr="000F0138" w:rsidTr="00662B05">
        <w:trPr>
          <w:trHeight w:val="173"/>
          <w:tblCellSpacing w:w="0" w:type="dxa"/>
        </w:trPr>
        <w:tc>
          <w:tcPr>
            <w:tcW w:w="0" w:type="auto"/>
            <w:vAlign w:val="center"/>
            <w:hideMark/>
          </w:tcPr>
          <w:p w:rsidR="00662B05" w:rsidRPr="000F0138" w:rsidRDefault="00662B05" w:rsidP="000F0138">
            <w:pPr>
              <w:spacing w:line="300" w:lineRule="exact"/>
              <w:jc w:val="both"/>
              <w:rPr>
                <w:rFonts w:ascii="Times New Roman" w:eastAsia="Times New Roman" w:hAnsi="Times New Roman"/>
                <w:szCs w:val="20"/>
              </w:rPr>
            </w:pPr>
          </w:p>
        </w:tc>
      </w:tr>
      <w:tr w:rsidR="00662B05" w:rsidRPr="000F0138" w:rsidTr="00662B05">
        <w:trPr>
          <w:trHeight w:val="595"/>
          <w:tblCellSpacing w:w="0" w:type="dxa"/>
        </w:trPr>
        <w:tc>
          <w:tcPr>
            <w:tcW w:w="0" w:type="auto"/>
            <w:hideMark/>
          </w:tcPr>
          <w:p w:rsidR="00662B05" w:rsidRPr="000F0138" w:rsidRDefault="00662B05" w:rsidP="000F0138">
            <w:pPr>
              <w:spacing w:line="300" w:lineRule="exact"/>
              <w:jc w:val="both"/>
              <w:rPr>
                <w:rFonts w:eastAsia="Times New Roman" w:cs="Arial"/>
                <w:color w:val="000000"/>
                <w:szCs w:val="20"/>
              </w:rPr>
            </w:pPr>
            <w:r w:rsidRPr="000F0138">
              <w:rPr>
                <w:rFonts w:eastAsia="Times New Roman" w:cs="Arial"/>
                <w:color w:val="000000"/>
                <w:szCs w:val="20"/>
              </w:rPr>
              <w:t xml:space="preserve">Die Musik des Jazz-Trios Khalifé – Schumacher – Tristano baut sich sachte, aber unwiderstehlich auf: </w:t>
            </w:r>
            <w:r w:rsidRPr="000F0138">
              <w:rPr>
                <w:rFonts w:eastAsia="Times New Roman" w:cs="Arial"/>
                <w:color w:val="000000"/>
                <w:szCs w:val="20"/>
              </w:rPr>
              <w:br/>
              <w:t>Eine einfache Notenfolge vom Klavier des Luxemburgers Francesco Tristano mag den Anstoß geben;</w:t>
            </w:r>
            <w:r w:rsidRPr="000F0138">
              <w:rPr>
                <w:rFonts w:eastAsia="Times New Roman" w:cs="Arial"/>
                <w:color w:val="000000"/>
                <w:szCs w:val="20"/>
              </w:rPr>
              <w:br/>
              <w:t xml:space="preserve">der Franko-Lebanese Bachar Khalifé nimmt den Faden insistierend an verschiedenstem Schlagzeug und Elektronik auf; und Pascal Schumacher (auch ein Luxemburger) schließlich spinnt die Fäden am Vibraphon melodisch zu einem die Ohren in Bann schlagenden Ganzem. Für diese gleichermaßen zarte wie mitreißende Musik bietet sich der intime und akustisch unübertreffbare Mozart-Saal ganz besonders an. </w:t>
            </w:r>
          </w:p>
        </w:tc>
      </w:tr>
    </w:tbl>
    <w:p w:rsidR="00662B05" w:rsidRPr="000F0138" w:rsidRDefault="00662B05" w:rsidP="000F0138">
      <w:pPr>
        <w:spacing w:line="300" w:lineRule="exact"/>
        <w:jc w:val="both"/>
        <w:rPr>
          <w:szCs w:val="20"/>
        </w:rPr>
      </w:pPr>
    </w:p>
    <w:tbl>
      <w:tblPr>
        <w:tblpPr w:leftFromText="141" w:rightFromText="141" w:horzAnchor="page" w:tblpX="1" w:tblpY="240"/>
        <w:tblW w:w="13800" w:type="dxa"/>
        <w:tblCellSpacing w:w="0" w:type="dxa"/>
        <w:tblCellMar>
          <w:left w:w="0" w:type="dxa"/>
          <w:right w:w="0" w:type="dxa"/>
        </w:tblCellMar>
        <w:tblLook w:val="04A0" w:firstRow="1" w:lastRow="0" w:firstColumn="1" w:lastColumn="0" w:noHBand="0" w:noVBand="1"/>
      </w:tblPr>
      <w:tblGrid>
        <w:gridCol w:w="450"/>
        <w:gridCol w:w="13350"/>
      </w:tblGrid>
      <w:tr w:rsidR="00662B05" w:rsidRPr="000F0138" w:rsidTr="00662B05">
        <w:trPr>
          <w:tblCellSpacing w:w="0" w:type="dxa"/>
        </w:trPr>
        <w:tc>
          <w:tcPr>
            <w:tcW w:w="450" w:type="dxa"/>
            <w:vAlign w:val="center"/>
            <w:hideMark/>
          </w:tcPr>
          <w:p w:rsidR="00662B05" w:rsidRPr="000F0138" w:rsidRDefault="00662B05" w:rsidP="000F0138">
            <w:pPr>
              <w:spacing w:line="300" w:lineRule="exact"/>
              <w:jc w:val="both"/>
              <w:rPr>
                <w:rFonts w:eastAsia="Times New Roman" w:cs="Arial"/>
                <w:color w:val="000000"/>
                <w:szCs w:val="20"/>
              </w:rPr>
            </w:pPr>
            <w:r w:rsidRPr="000F0138">
              <w:rPr>
                <w:rFonts w:eastAsia="Times New Roman" w:cs="Arial"/>
                <w:color w:val="000000"/>
                <w:szCs w:val="20"/>
              </w:rPr>
              <w:t> </w:t>
            </w:r>
          </w:p>
        </w:tc>
        <w:tc>
          <w:tcPr>
            <w:tcW w:w="0" w:type="auto"/>
            <w:hideMark/>
          </w:tcPr>
          <w:p w:rsidR="00662B05" w:rsidRPr="000F0138" w:rsidRDefault="00662B05" w:rsidP="000F0138">
            <w:pPr>
              <w:spacing w:line="300" w:lineRule="exact"/>
              <w:jc w:val="both"/>
              <w:rPr>
                <w:rFonts w:ascii="Times New Roman" w:eastAsia="Times New Roman" w:hAnsi="Times New Roman"/>
                <w:szCs w:val="20"/>
              </w:rPr>
            </w:pPr>
          </w:p>
        </w:tc>
      </w:tr>
    </w:tbl>
    <w:p w:rsidR="00662B05" w:rsidRPr="000F0138" w:rsidRDefault="00662B05" w:rsidP="000F0138">
      <w:pPr>
        <w:spacing w:line="300" w:lineRule="exact"/>
        <w:ind w:left="-284"/>
        <w:jc w:val="both"/>
        <w:rPr>
          <w:b/>
          <w:szCs w:val="20"/>
          <w:u w:val="single"/>
        </w:rPr>
      </w:pPr>
      <w:r w:rsidRPr="000F0138">
        <w:rPr>
          <w:b/>
          <w:szCs w:val="20"/>
          <w:u w:val="single"/>
        </w:rPr>
        <w:t xml:space="preserve">Sonderaktion: </w:t>
      </w:r>
    </w:p>
    <w:p w:rsidR="00662B05" w:rsidRPr="000F0138" w:rsidRDefault="00662B05" w:rsidP="000F0138">
      <w:pPr>
        <w:spacing w:line="300" w:lineRule="exact"/>
        <w:ind w:left="-284"/>
        <w:jc w:val="both"/>
        <w:rPr>
          <w:szCs w:val="20"/>
        </w:rPr>
      </w:pPr>
    </w:p>
    <w:p w:rsidR="00662B05" w:rsidRPr="000F0138" w:rsidRDefault="00662B05" w:rsidP="00580084">
      <w:pPr>
        <w:spacing w:line="300" w:lineRule="exact"/>
        <w:ind w:left="-284" w:right="-286"/>
        <w:jc w:val="both"/>
        <w:rPr>
          <w:rFonts w:cs="Arial"/>
          <w:szCs w:val="20"/>
        </w:rPr>
      </w:pPr>
      <w:r w:rsidRPr="000F0138">
        <w:rPr>
          <w:rFonts w:cs="Arial"/>
          <w:szCs w:val="20"/>
        </w:rPr>
        <w:t>Gegen Nennung des Kennwortes «Luxemburg» erhalten Sie zu jeder gekauften Eintrittsarte eine weitere kostenlose Karte. Sollten Sie bereits Karten erworben haben, so können Sie das Angebot der zusätzlichen Freikarten selbstverständlich auch nachträglich in Anspruch nehmen. Ihre Karten können Sie direkt an der Konzerthauskassa (1030 Wien, Lothringerstraße 20), mittels Kreditkarte per Telefon (+43 1 242 002) oder per E-Mail (</w:t>
      </w:r>
      <w:hyperlink r:id="rId6" w:history="1">
        <w:r w:rsidRPr="000F0138">
          <w:rPr>
            <w:rStyle w:val="Hyperlink"/>
            <w:rFonts w:cs="Arial"/>
            <w:color w:val="auto"/>
            <w:szCs w:val="20"/>
          </w:rPr>
          <w:t>ticket@konzerthaus.at</w:t>
        </w:r>
      </w:hyperlink>
      <w:r w:rsidRPr="000F0138">
        <w:rPr>
          <w:rFonts w:cs="Arial"/>
          <w:szCs w:val="20"/>
        </w:rPr>
        <w:t>) erwerben.</w:t>
      </w:r>
    </w:p>
    <w:p w:rsidR="00662B05" w:rsidRPr="000F0138" w:rsidRDefault="00662B05" w:rsidP="000F0138">
      <w:pPr>
        <w:spacing w:line="300" w:lineRule="exact"/>
        <w:ind w:left="-284"/>
        <w:jc w:val="both"/>
        <w:rPr>
          <w:rFonts w:cs="Arial"/>
          <w:szCs w:val="20"/>
        </w:rPr>
      </w:pPr>
    </w:p>
    <w:p w:rsidR="00662B05" w:rsidRPr="000F0138" w:rsidRDefault="00662B05" w:rsidP="000F0138">
      <w:pPr>
        <w:spacing w:line="300" w:lineRule="exact"/>
        <w:ind w:left="-284"/>
        <w:jc w:val="both"/>
        <w:rPr>
          <w:rFonts w:cs="Arial"/>
          <w:szCs w:val="20"/>
        </w:rPr>
      </w:pPr>
      <w:r w:rsidRPr="000F0138">
        <w:rPr>
          <w:rFonts w:cs="Arial"/>
          <w:szCs w:val="20"/>
        </w:rPr>
        <w:t xml:space="preserve">Karten zum Konzert unter: </w:t>
      </w:r>
      <w:hyperlink r:id="rId7" w:history="1">
        <w:r w:rsidRPr="000F0138">
          <w:rPr>
            <w:rStyle w:val="Hyperlink"/>
            <w:rFonts w:cs="Arial"/>
            <w:szCs w:val="20"/>
          </w:rPr>
          <w:t>http://konzerthaus.at/programm/tickets@000000e9-000e6f68</w:t>
        </w:r>
      </w:hyperlink>
      <w:r w:rsidRPr="000F0138">
        <w:rPr>
          <w:rFonts w:cs="Arial"/>
          <w:szCs w:val="20"/>
        </w:rPr>
        <w:t xml:space="preserve"> </w:t>
      </w:r>
    </w:p>
    <w:p w:rsidR="00662B05" w:rsidRPr="000F0138" w:rsidRDefault="00662B05" w:rsidP="000F0138">
      <w:pPr>
        <w:spacing w:line="300" w:lineRule="exact"/>
        <w:ind w:left="-284"/>
        <w:jc w:val="both"/>
        <w:rPr>
          <w:rFonts w:cs="Arial"/>
          <w:szCs w:val="20"/>
        </w:rPr>
      </w:pPr>
    </w:p>
    <w:p w:rsidR="000F0138" w:rsidRDefault="000F0138" w:rsidP="000F0138">
      <w:pPr>
        <w:spacing w:line="300" w:lineRule="exact"/>
        <w:ind w:left="-284"/>
        <w:jc w:val="both"/>
        <w:rPr>
          <w:szCs w:val="20"/>
        </w:rPr>
      </w:pPr>
      <w:r>
        <w:rPr>
          <w:rFonts w:cs="Arial"/>
          <w:szCs w:val="20"/>
        </w:rPr>
        <w:t>Videos</w:t>
      </w:r>
      <w:r w:rsidR="00662B05" w:rsidRPr="000F0138">
        <w:rPr>
          <w:szCs w:val="20"/>
        </w:rPr>
        <w:t xml:space="preserve">: </w:t>
      </w:r>
    </w:p>
    <w:p w:rsidR="000F0138" w:rsidRDefault="00F44795" w:rsidP="000F0138">
      <w:pPr>
        <w:spacing w:line="300" w:lineRule="exact"/>
        <w:ind w:left="-284"/>
        <w:jc w:val="both"/>
        <w:rPr>
          <w:szCs w:val="20"/>
        </w:rPr>
      </w:pPr>
      <w:hyperlink r:id="rId8" w:history="1">
        <w:r w:rsidR="00662B05" w:rsidRPr="000F0138">
          <w:rPr>
            <w:rStyle w:val="Hyperlink"/>
            <w:szCs w:val="20"/>
          </w:rPr>
          <w:t>https://www.youtube.com/watch?v=Za_rSnxxQPE</w:t>
        </w:r>
      </w:hyperlink>
    </w:p>
    <w:p w:rsidR="00662B05" w:rsidRPr="000F0138" w:rsidRDefault="00F44795" w:rsidP="000F0138">
      <w:pPr>
        <w:spacing w:line="300" w:lineRule="exact"/>
        <w:ind w:left="-284"/>
        <w:jc w:val="both"/>
        <w:rPr>
          <w:szCs w:val="20"/>
        </w:rPr>
      </w:pPr>
      <w:hyperlink r:id="rId9" w:history="1">
        <w:r w:rsidR="00662B05" w:rsidRPr="000F0138">
          <w:rPr>
            <w:rStyle w:val="Hyperlink"/>
            <w:szCs w:val="20"/>
          </w:rPr>
          <w:t>https://www.youtube.com/watch?v=V_uNUMI01Ec</w:t>
        </w:r>
      </w:hyperlink>
      <w:r w:rsidR="00662B05" w:rsidRPr="000F0138">
        <w:rPr>
          <w:szCs w:val="20"/>
        </w:rPr>
        <w:t xml:space="preserve"> </w:t>
      </w:r>
      <w:r w:rsidR="00662B05" w:rsidRPr="000F0138">
        <w:rPr>
          <w:szCs w:val="20"/>
        </w:rPr>
        <w:br/>
      </w:r>
      <w:hyperlink r:id="rId10" w:history="1">
        <w:r w:rsidR="00662B05" w:rsidRPr="000F0138">
          <w:rPr>
            <w:rStyle w:val="Hyperlink"/>
            <w:szCs w:val="20"/>
          </w:rPr>
          <w:t>https://www.youtube.com/watch?v=Bc2F5qpGPVA</w:t>
        </w:r>
      </w:hyperlink>
    </w:p>
    <w:sectPr w:rsidR="00662B05" w:rsidRPr="000F0138" w:rsidSect="0058008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05"/>
    <w:rsid w:val="000F0138"/>
    <w:rsid w:val="00580084"/>
    <w:rsid w:val="00662B05"/>
    <w:rsid w:val="00B9631D"/>
    <w:rsid w:val="00BD4630"/>
    <w:rsid w:val="00D9448D"/>
    <w:rsid w:val="00DB3461"/>
    <w:rsid w:val="00F44795"/>
    <w:rsid w:val="00FB320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46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B346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9631D"/>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B9631D"/>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461"/>
    <w:rPr>
      <w:rFonts w:eastAsiaTheme="majorEastAsia" w:cstheme="majorBidi"/>
      <w:b/>
      <w:bCs/>
      <w:sz w:val="28"/>
      <w:szCs w:val="28"/>
    </w:rPr>
  </w:style>
  <w:style w:type="character" w:customStyle="1" w:styleId="Heading2Char">
    <w:name w:val="Heading 2 Char"/>
    <w:basedOn w:val="DefaultParagraphFont"/>
    <w:link w:val="Heading2"/>
    <w:uiPriority w:val="9"/>
    <w:rsid w:val="00DB3461"/>
    <w:rPr>
      <w:rFonts w:eastAsiaTheme="majorEastAsia" w:cstheme="majorBidi"/>
      <w:b/>
      <w:bCs/>
      <w:sz w:val="26"/>
      <w:szCs w:val="26"/>
    </w:rPr>
  </w:style>
  <w:style w:type="character" w:customStyle="1" w:styleId="Heading3Char">
    <w:name w:val="Heading 3 Char"/>
    <w:basedOn w:val="DefaultParagraphFont"/>
    <w:link w:val="Heading3"/>
    <w:uiPriority w:val="9"/>
    <w:rsid w:val="00B9631D"/>
    <w:rPr>
      <w:rFonts w:eastAsiaTheme="majorEastAsia" w:cstheme="majorBidi"/>
      <w:b/>
      <w:bCs/>
    </w:rPr>
  </w:style>
  <w:style w:type="character" w:customStyle="1" w:styleId="Heading4Char">
    <w:name w:val="Heading 4 Char"/>
    <w:basedOn w:val="DefaultParagraphFont"/>
    <w:link w:val="Heading4"/>
    <w:uiPriority w:val="9"/>
    <w:rsid w:val="00B9631D"/>
    <w:rPr>
      <w:rFonts w:eastAsiaTheme="majorEastAsia" w:cstheme="majorBidi"/>
      <w:b/>
      <w:bCs/>
      <w:i/>
      <w:iCs/>
    </w:rPr>
  </w:style>
  <w:style w:type="character" w:styleId="Hyperlink">
    <w:name w:val="Hyperlink"/>
    <w:basedOn w:val="DefaultParagraphFont"/>
    <w:uiPriority w:val="99"/>
    <w:unhideWhenUsed/>
    <w:rsid w:val="00662B05"/>
    <w:rPr>
      <w:color w:val="0000FF"/>
      <w:u w:val="single"/>
    </w:rPr>
  </w:style>
  <w:style w:type="paragraph" w:styleId="BalloonText">
    <w:name w:val="Balloon Text"/>
    <w:basedOn w:val="Normal"/>
    <w:link w:val="BalloonTextChar"/>
    <w:uiPriority w:val="99"/>
    <w:semiHidden/>
    <w:unhideWhenUsed/>
    <w:rsid w:val="00662B05"/>
    <w:rPr>
      <w:rFonts w:ascii="Tahoma" w:hAnsi="Tahoma" w:cs="Tahoma"/>
      <w:sz w:val="16"/>
      <w:szCs w:val="16"/>
    </w:rPr>
  </w:style>
  <w:style w:type="character" w:customStyle="1" w:styleId="BalloonTextChar">
    <w:name w:val="Balloon Text Char"/>
    <w:basedOn w:val="DefaultParagraphFont"/>
    <w:link w:val="BalloonText"/>
    <w:uiPriority w:val="99"/>
    <w:semiHidden/>
    <w:rsid w:val="00662B0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46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B346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9631D"/>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B9631D"/>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461"/>
    <w:rPr>
      <w:rFonts w:eastAsiaTheme="majorEastAsia" w:cstheme="majorBidi"/>
      <w:b/>
      <w:bCs/>
      <w:sz w:val="28"/>
      <w:szCs w:val="28"/>
    </w:rPr>
  </w:style>
  <w:style w:type="character" w:customStyle="1" w:styleId="Heading2Char">
    <w:name w:val="Heading 2 Char"/>
    <w:basedOn w:val="DefaultParagraphFont"/>
    <w:link w:val="Heading2"/>
    <w:uiPriority w:val="9"/>
    <w:rsid w:val="00DB3461"/>
    <w:rPr>
      <w:rFonts w:eastAsiaTheme="majorEastAsia" w:cstheme="majorBidi"/>
      <w:b/>
      <w:bCs/>
      <w:sz w:val="26"/>
      <w:szCs w:val="26"/>
    </w:rPr>
  </w:style>
  <w:style w:type="character" w:customStyle="1" w:styleId="Heading3Char">
    <w:name w:val="Heading 3 Char"/>
    <w:basedOn w:val="DefaultParagraphFont"/>
    <w:link w:val="Heading3"/>
    <w:uiPriority w:val="9"/>
    <w:rsid w:val="00B9631D"/>
    <w:rPr>
      <w:rFonts w:eastAsiaTheme="majorEastAsia" w:cstheme="majorBidi"/>
      <w:b/>
      <w:bCs/>
    </w:rPr>
  </w:style>
  <w:style w:type="character" w:customStyle="1" w:styleId="Heading4Char">
    <w:name w:val="Heading 4 Char"/>
    <w:basedOn w:val="DefaultParagraphFont"/>
    <w:link w:val="Heading4"/>
    <w:uiPriority w:val="9"/>
    <w:rsid w:val="00B9631D"/>
    <w:rPr>
      <w:rFonts w:eastAsiaTheme="majorEastAsia" w:cstheme="majorBidi"/>
      <w:b/>
      <w:bCs/>
      <w:i/>
      <w:iCs/>
    </w:rPr>
  </w:style>
  <w:style w:type="character" w:styleId="Hyperlink">
    <w:name w:val="Hyperlink"/>
    <w:basedOn w:val="DefaultParagraphFont"/>
    <w:uiPriority w:val="99"/>
    <w:unhideWhenUsed/>
    <w:rsid w:val="00662B05"/>
    <w:rPr>
      <w:color w:val="0000FF"/>
      <w:u w:val="single"/>
    </w:rPr>
  </w:style>
  <w:style w:type="paragraph" w:styleId="BalloonText">
    <w:name w:val="Balloon Text"/>
    <w:basedOn w:val="Normal"/>
    <w:link w:val="BalloonTextChar"/>
    <w:uiPriority w:val="99"/>
    <w:semiHidden/>
    <w:unhideWhenUsed/>
    <w:rsid w:val="00662B05"/>
    <w:rPr>
      <w:rFonts w:ascii="Tahoma" w:hAnsi="Tahoma" w:cs="Tahoma"/>
      <w:sz w:val="16"/>
      <w:szCs w:val="16"/>
    </w:rPr>
  </w:style>
  <w:style w:type="character" w:customStyle="1" w:styleId="BalloonTextChar">
    <w:name w:val="Balloon Text Char"/>
    <w:basedOn w:val="DefaultParagraphFont"/>
    <w:link w:val="BalloonText"/>
    <w:uiPriority w:val="99"/>
    <w:semiHidden/>
    <w:rsid w:val="00662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86865">
      <w:bodyDiv w:val="1"/>
      <w:marLeft w:val="0"/>
      <w:marRight w:val="0"/>
      <w:marTop w:val="0"/>
      <w:marBottom w:val="0"/>
      <w:divBdr>
        <w:top w:val="none" w:sz="0" w:space="0" w:color="auto"/>
        <w:left w:val="none" w:sz="0" w:space="0" w:color="auto"/>
        <w:bottom w:val="none" w:sz="0" w:space="0" w:color="auto"/>
        <w:right w:val="none" w:sz="0" w:space="0" w:color="auto"/>
      </w:divBdr>
    </w:div>
    <w:div w:id="13755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ticket@konzerthaus.at" TargetMode="External"/><Relationship Id="rId7" Type="http://schemas.openxmlformats.org/officeDocument/2006/relationships/hyperlink" Target="http://konzerthaus.at/programm/tickets@000000e9-000e6f68" TargetMode="External"/><Relationship Id="rId8" Type="http://schemas.openxmlformats.org/officeDocument/2006/relationships/hyperlink" Target="https://www.youtube.com/watch?v=Za_rSnxxQPE" TargetMode="External"/><Relationship Id="rId9" Type="http://schemas.openxmlformats.org/officeDocument/2006/relationships/hyperlink" Target="https://www.youtube.com/watch?v=V_uNUMI01Ec" TargetMode="External"/><Relationship Id="rId10" Type="http://schemas.openxmlformats.org/officeDocument/2006/relationships/hyperlink" Target="https://www.youtube.com/watch?v=Bc2F5qpGPV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Goossens</dc:creator>
  <cp:lastModifiedBy>Sean Henderson-Peal</cp:lastModifiedBy>
  <cp:revision>2</cp:revision>
  <dcterms:created xsi:type="dcterms:W3CDTF">2014-12-29T13:41:00Z</dcterms:created>
  <dcterms:modified xsi:type="dcterms:W3CDTF">2014-12-29T13:41:00Z</dcterms:modified>
</cp:coreProperties>
</file>